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6F8F" w14:textId="77777777" w:rsidR="00903F34" w:rsidRDefault="00000000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3C471DD3" wp14:editId="0F5000D2">
            <wp:simplePos x="0" y="0"/>
            <wp:positionH relativeFrom="column">
              <wp:posOffset>4553585</wp:posOffset>
            </wp:positionH>
            <wp:positionV relativeFrom="paragraph">
              <wp:posOffset>-266065</wp:posOffset>
            </wp:positionV>
            <wp:extent cx="1394460" cy="1392555"/>
            <wp:effectExtent l="19050" t="0" r="0" b="0"/>
            <wp:wrapNone/>
            <wp:docPr id="2" name="Image 1" descr="AAPPMA_logo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AAPPMA_logo_RVB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B3C319D" wp14:editId="1F4805CA">
            <wp:simplePos x="0" y="0"/>
            <wp:positionH relativeFrom="column">
              <wp:posOffset>109220</wp:posOffset>
            </wp:positionH>
            <wp:positionV relativeFrom="paragraph">
              <wp:posOffset>-170180</wp:posOffset>
            </wp:positionV>
            <wp:extent cx="2691765" cy="1295400"/>
            <wp:effectExtent l="19050" t="0" r="0" b="0"/>
            <wp:wrapNone/>
            <wp:docPr id="1" name="Image 0" descr="FishOnBreizh_orange-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0" descr="FishOnBreizh_orange-gris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C9C37" w14:textId="77777777" w:rsidR="00903F34" w:rsidRDefault="00903F34">
      <w:pPr>
        <w:rPr>
          <w:sz w:val="40"/>
          <w:szCs w:val="40"/>
        </w:rPr>
      </w:pPr>
    </w:p>
    <w:p w14:paraId="3B31A699" w14:textId="77777777" w:rsidR="00903F34" w:rsidRDefault="00903F34">
      <w:pPr>
        <w:rPr>
          <w:sz w:val="40"/>
          <w:szCs w:val="40"/>
        </w:rPr>
      </w:pPr>
    </w:p>
    <w:p w14:paraId="7AD11365" w14:textId="77777777" w:rsidR="00903F3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Déroulement de la compétition :</w:t>
      </w:r>
    </w:p>
    <w:p w14:paraId="52D83A1A" w14:textId="45D8BE76" w:rsidR="0028469A" w:rsidRPr="00353401" w:rsidRDefault="0028469A">
      <w:pPr>
        <w:jc w:val="both"/>
        <w:rPr>
          <w:b/>
          <w:bCs/>
        </w:rPr>
      </w:pPr>
      <w:r>
        <w:rPr>
          <w:b/>
        </w:rPr>
        <w:t>8h</w:t>
      </w:r>
      <w:r w:rsidR="00353401">
        <w:rPr>
          <w:b/>
        </w:rPr>
        <w:t>00</w:t>
      </w:r>
      <w:r>
        <w:t xml:space="preserve"> </w:t>
      </w:r>
      <w:r w:rsidRPr="00353401">
        <w:rPr>
          <w:b/>
          <w:bCs/>
        </w:rPr>
        <w:t>Accueil des participants, émargements, tirage au sort des binômes</w:t>
      </w:r>
      <w:r w:rsidR="00353401" w:rsidRPr="00353401">
        <w:rPr>
          <w:b/>
          <w:bCs/>
        </w:rPr>
        <w:t xml:space="preserve"> </w:t>
      </w:r>
      <w:r w:rsidRPr="00353401">
        <w:rPr>
          <w:b/>
          <w:bCs/>
        </w:rPr>
        <w:t xml:space="preserve"> </w:t>
      </w:r>
    </w:p>
    <w:p w14:paraId="41E20566" w14:textId="153625E6" w:rsidR="00903F34" w:rsidRDefault="00353401">
      <w:pPr>
        <w:jc w:val="both"/>
      </w:pPr>
      <w:r>
        <w:rPr>
          <w:b/>
          <w:bCs/>
        </w:rPr>
        <w:t>8</w:t>
      </w:r>
      <w:r w:rsidR="0028469A" w:rsidRPr="0028469A">
        <w:rPr>
          <w:b/>
          <w:bCs/>
        </w:rPr>
        <w:t>h</w:t>
      </w:r>
      <w:r>
        <w:rPr>
          <w:b/>
          <w:bCs/>
        </w:rPr>
        <w:t>30</w:t>
      </w:r>
      <w:r w:rsidR="0028469A">
        <w:t xml:space="preserve"> </w:t>
      </w:r>
      <w:proofErr w:type="gramStart"/>
      <w:r w:rsidR="0028469A" w:rsidRPr="00353401">
        <w:rPr>
          <w:b/>
          <w:bCs/>
        </w:rPr>
        <w:t>Briefing</w:t>
      </w:r>
      <w:proofErr w:type="gramEnd"/>
      <w:r w:rsidR="0028469A" w:rsidRPr="00353401">
        <w:rPr>
          <w:b/>
          <w:bCs/>
        </w:rPr>
        <w:t xml:space="preserve"> de départ</w:t>
      </w:r>
      <w:r w:rsidRPr="00353401">
        <w:rPr>
          <w:b/>
          <w:bCs/>
        </w:rPr>
        <w:t xml:space="preserve"> (RDV</w:t>
      </w:r>
      <w:r>
        <w:rPr>
          <w:b/>
          <w:bCs/>
        </w:rPr>
        <w:t> : parking le long du halage,</w:t>
      </w:r>
      <w:r w:rsidRPr="00353401">
        <w:rPr>
          <w:b/>
          <w:bCs/>
        </w:rPr>
        <w:t xml:space="preserve"> Le </w:t>
      </w:r>
      <w:proofErr w:type="gramStart"/>
      <w:r w:rsidRPr="00353401">
        <w:rPr>
          <w:b/>
          <w:bCs/>
        </w:rPr>
        <w:t>Pont</w:t>
      </w:r>
      <w:proofErr w:type="gramEnd"/>
      <w:r w:rsidRPr="00353401">
        <w:rPr>
          <w:b/>
          <w:bCs/>
        </w:rPr>
        <w:t xml:space="preserve"> Neuf, commune de Languidic)</w:t>
      </w:r>
    </w:p>
    <w:p w14:paraId="16F5EFB3" w14:textId="7E32660E" w:rsidR="00903F34" w:rsidRPr="00353401" w:rsidRDefault="0028469A">
      <w:pPr>
        <w:jc w:val="both"/>
        <w:rPr>
          <w:b/>
          <w:bCs/>
        </w:rPr>
      </w:pPr>
      <w:r>
        <w:rPr>
          <w:b/>
        </w:rPr>
        <w:t>9h</w:t>
      </w:r>
      <w:r w:rsidR="00353401">
        <w:rPr>
          <w:b/>
        </w:rPr>
        <w:t>00</w:t>
      </w:r>
      <w:r>
        <w:t xml:space="preserve"> </w:t>
      </w:r>
      <w:r w:rsidRPr="00353401">
        <w:rPr>
          <w:b/>
          <w:bCs/>
        </w:rPr>
        <w:t xml:space="preserve">Départ de la </w:t>
      </w:r>
      <w:r w:rsidR="00353401">
        <w:rPr>
          <w:b/>
          <w:bCs/>
        </w:rPr>
        <w:t>1</w:t>
      </w:r>
      <w:r w:rsidR="00353401" w:rsidRPr="00353401">
        <w:rPr>
          <w:b/>
          <w:bCs/>
          <w:vertAlign w:val="superscript"/>
        </w:rPr>
        <w:t>ère</w:t>
      </w:r>
      <w:r w:rsidR="00353401">
        <w:rPr>
          <w:b/>
          <w:bCs/>
        </w:rPr>
        <w:t xml:space="preserve"> manche (Secteur amont)  </w:t>
      </w:r>
    </w:p>
    <w:p w14:paraId="20F60C11" w14:textId="681AFA9F" w:rsidR="00353401" w:rsidRDefault="00353401">
      <w:pPr>
        <w:jc w:val="both"/>
        <w:rPr>
          <w:b/>
          <w:bCs/>
        </w:rPr>
      </w:pPr>
      <w:r w:rsidRPr="00353401">
        <w:rPr>
          <w:b/>
          <w:bCs/>
        </w:rPr>
        <w:t>12h00</w:t>
      </w:r>
      <w:r>
        <w:rPr>
          <w:b/>
          <w:bCs/>
        </w:rPr>
        <w:t xml:space="preserve"> Fin de la 1</w:t>
      </w:r>
      <w:r w:rsidRPr="00353401">
        <w:rPr>
          <w:b/>
          <w:bCs/>
          <w:vertAlign w:val="superscript"/>
        </w:rPr>
        <w:t>ère</w:t>
      </w:r>
      <w:r>
        <w:rPr>
          <w:b/>
          <w:bCs/>
        </w:rPr>
        <w:t xml:space="preserve"> manche </w:t>
      </w:r>
      <w:r w:rsidR="0022674D">
        <w:rPr>
          <w:b/>
          <w:bCs/>
        </w:rPr>
        <w:t xml:space="preserve">&amp; </w:t>
      </w:r>
      <w:r>
        <w:rPr>
          <w:b/>
          <w:bCs/>
        </w:rPr>
        <w:t xml:space="preserve">Récupération fiche capture </w:t>
      </w:r>
      <w:r w:rsidR="0022674D">
        <w:rPr>
          <w:b/>
          <w:bCs/>
        </w:rPr>
        <w:t>1</w:t>
      </w:r>
      <w:r w:rsidR="0022674D" w:rsidRPr="0022674D">
        <w:rPr>
          <w:b/>
          <w:bCs/>
          <w:vertAlign w:val="superscript"/>
        </w:rPr>
        <w:t>ère</w:t>
      </w:r>
      <w:r w:rsidR="0022674D">
        <w:rPr>
          <w:b/>
          <w:bCs/>
        </w:rPr>
        <w:t xml:space="preserve"> manche</w:t>
      </w:r>
    </w:p>
    <w:p w14:paraId="1D347426" w14:textId="76C11660" w:rsidR="0022674D" w:rsidRDefault="0022674D">
      <w:pPr>
        <w:jc w:val="both"/>
        <w:rPr>
          <w:b/>
          <w:bCs/>
        </w:rPr>
      </w:pPr>
      <w:r>
        <w:rPr>
          <w:b/>
          <w:bCs/>
        </w:rPr>
        <w:t xml:space="preserve">13h00 </w:t>
      </w:r>
      <w:proofErr w:type="gramStart"/>
      <w:r>
        <w:rPr>
          <w:b/>
          <w:bCs/>
        </w:rPr>
        <w:t>Briefing</w:t>
      </w:r>
      <w:proofErr w:type="gramEnd"/>
      <w:r>
        <w:rPr>
          <w:b/>
          <w:bCs/>
        </w:rPr>
        <w:t xml:space="preserve"> de la 2</w:t>
      </w:r>
      <w:r w:rsidRPr="0022674D">
        <w:rPr>
          <w:b/>
          <w:bCs/>
          <w:vertAlign w:val="superscript"/>
        </w:rPr>
        <w:t>ème</w:t>
      </w:r>
      <w:r>
        <w:rPr>
          <w:b/>
          <w:bCs/>
        </w:rPr>
        <w:t xml:space="preserve"> manche (RDV : maison éclusière </w:t>
      </w:r>
      <w:proofErr w:type="spellStart"/>
      <w:r>
        <w:rPr>
          <w:b/>
          <w:bCs/>
        </w:rPr>
        <w:t>Lochrist-Langroix</w:t>
      </w:r>
      <w:proofErr w:type="spellEnd"/>
      <w:r>
        <w:rPr>
          <w:b/>
          <w:bCs/>
        </w:rPr>
        <w:t xml:space="preserve"> commune d’Hennebont</w:t>
      </w:r>
    </w:p>
    <w:p w14:paraId="6897F62E" w14:textId="01302C83" w:rsidR="00353401" w:rsidRDefault="00353401">
      <w:pPr>
        <w:jc w:val="both"/>
        <w:rPr>
          <w:b/>
          <w:bCs/>
        </w:rPr>
      </w:pPr>
      <w:r>
        <w:rPr>
          <w:b/>
          <w:bCs/>
        </w:rPr>
        <w:t>13h</w:t>
      </w:r>
      <w:r w:rsidR="0022674D">
        <w:rPr>
          <w:b/>
          <w:bCs/>
        </w:rPr>
        <w:t>30</w:t>
      </w:r>
      <w:r>
        <w:rPr>
          <w:b/>
          <w:bCs/>
        </w:rPr>
        <w:t xml:space="preserve"> Début de la 2</w:t>
      </w:r>
      <w:r w:rsidRPr="00353401">
        <w:rPr>
          <w:b/>
          <w:bCs/>
          <w:vertAlign w:val="superscript"/>
        </w:rPr>
        <w:t>ème</w:t>
      </w:r>
      <w:r>
        <w:rPr>
          <w:b/>
          <w:bCs/>
        </w:rPr>
        <w:t xml:space="preserve"> manche (Secteur aval)</w:t>
      </w:r>
    </w:p>
    <w:p w14:paraId="73F9711A" w14:textId="0160646A" w:rsidR="00903F34" w:rsidRPr="00E205C5" w:rsidRDefault="00000000">
      <w:pPr>
        <w:jc w:val="both"/>
        <w:rPr>
          <w:b/>
          <w:bCs/>
        </w:rPr>
      </w:pPr>
      <w:r>
        <w:rPr>
          <w:b/>
        </w:rPr>
        <w:t>1</w:t>
      </w:r>
      <w:r w:rsidR="0028469A">
        <w:rPr>
          <w:b/>
        </w:rPr>
        <w:t>7</w:t>
      </w:r>
      <w:r>
        <w:rPr>
          <w:b/>
        </w:rPr>
        <w:t>h</w:t>
      </w:r>
      <w:r w:rsidR="0022674D">
        <w:rPr>
          <w:b/>
        </w:rPr>
        <w:t>00</w:t>
      </w:r>
      <w:r>
        <w:t xml:space="preserve"> </w:t>
      </w:r>
      <w:r w:rsidRPr="00E205C5">
        <w:rPr>
          <w:b/>
          <w:bCs/>
        </w:rPr>
        <w:t>Fin de la compétition</w:t>
      </w:r>
      <w:r w:rsidR="0022674D" w:rsidRPr="00E205C5">
        <w:rPr>
          <w:b/>
          <w:bCs/>
        </w:rPr>
        <w:t xml:space="preserve"> &amp; Récupération fiche capture 2</w:t>
      </w:r>
      <w:r w:rsidR="0022674D" w:rsidRPr="00E205C5">
        <w:rPr>
          <w:b/>
          <w:bCs/>
          <w:vertAlign w:val="superscript"/>
        </w:rPr>
        <w:t>ème</w:t>
      </w:r>
      <w:r w:rsidR="0022674D" w:rsidRPr="00E205C5">
        <w:rPr>
          <w:b/>
          <w:bCs/>
        </w:rPr>
        <w:t xml:space="preserve"> manche</w:t>
      </w:r>
    </w:p>
    <w:p w14:paraId="78935BCA" w14:textId="62EE9B1A" w:rsidR="00903F34" w:rsidRPr="00E205C5" w:rsidRDefault="00000000">
      <w:pPr>
        <w:jc w:val="both"/>
        <w:rPr>
          <w:b/>
          <w:bCs/>
        </w:rPr>
      </w:pPr>
      <w:r w:rsidRPr="00E205C5">
        <w:rPr>
          <w:b/>
          <w:bCs/>
        </w:rPr>
        <w:t>1</w:t>
      </w:r>
      <w:r w:rsidR="0028469A" w:rsidRPr="00E205C5">
        <w:rPr>
          <w:b/>
          <w:bCs/>
        </w:rPr>
        <w:t>8</w:t>
      </w:r>
      <w:r w:rsidRPr="00E205C5">
        <w:rPr>
          <w:b/>
          <w:bCs/>
        </w:rPr>
        <w:t>h</w:t>
      </w:r>
      <w:r w:rsidR="0022674D" w:rsidRPr="00E205C5">
        <w:rPr>
          <w:b/>
          <w:bCs/>
        </w:rPr>
        <w:t>00</w:t>
      </w:r>
      <w:r w:rsidRPr="00E205C5">
        <w:rPr>
          <w:b/>
          <w:bCs/>
        </w:rPr>
        <w:t xml:space="preserve"> Classement final et remise des prix.</w:t>
      </w:r>
    </w:p>
    <w:p w14:paraId="483552DD" w14:textId="77777777" w:rsidR="00903F34" w:rsidRDefault="00903F34">
      <w:pPr>
        <w:jc w:val="both"/>
        <w:rPr>
          <w:b/>
          <w:sz w:val="28"/>
          <w:szCs w:val="28"/>
        </w:rPr>
      </w:pPr>
    </w:p>
    <w:p w14:paraId="40B8B324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L’esprit général de cette compétition :</w:t>
      </w:r>
    </w:p>
    <w:p w14:paraId="08BD312A" w14:textId="32ABC107" w:rsidR="00903F34" w:rsidRDefault="00000000">
      <w:pPr>
        <w:jc w:val="both"/>
      </w:pPr>
      <w:r>
        <w:t>Cette compétition se veut un événement modeste et convivial. Le respect des règles, des organisateurs, des compétiteurs et autres pêcheurs non</w:t>
      </w:r>
      <w:r w:rsidR="00AB6869">
        <w:t>-</w:t>
      </w:r>
      <w:r>
        <w:t>inscrits est de rigueur.</w:t>
      </w:r>
    </w:p>
    <w:p w14:paraId="5D13DDDD" w14:textId="77777777" w:rsidR="00903F34" w:rsidRDefault="00903F34">
      <w:pPr>
        <w:jc w:val="both"/>
        <w:rPr>
          <w:b/>
          <w:sz w:val="28"/>
          <w:szCs w:val="28"/>
        </w:rPr>
      </w:pPr>
    </w:p>
    <w:p w14:paraId="5E335DAC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Règlement général de la compétition :</w:t>
      </w:r>
    </w:p>
    <w:p w14:paraId="739D6905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Le classement de la compétition est individuel.</w:t>
      </w:r>
    </w:p>
    <w:p w14:paraId="78D2E757" w14:textId="3E919021" w:rsidR="00903F34" w:rsidRDefault="00000000">
      <w:pPr>
        <w:pStyle w:val="Paragraphedeliste"/>
        <w:numPr>
          <w:ilvl w:val="0"/>
          <w:numId w:val="1"/>
        </w:numPr>
        <w:jc w:val="both"/>
      </w:pPr>
      <w:r>
        <w:t>La pêche se déroule en binôme</w:t>
      </w:r>
      <w:r w:rsidR="008E22C1">
        <w:t xml:space="preserve"> constitué ou </w:t>
      </w:r>
      <w:r>
        <w:t>tiré au sort le jour de la compétition. (Un</w:t>
      </w:r>
      <w:r w:rsidR="00E677B4">
        <w:t xml:space="preserve"> binôme peut être constitué de 2 personnes majeures, de 2 personnes mineures ou de 1 personne majeure et de 1 personne mineure</w:t>
      </w:r>
      <w:r>
        <w:t>)</w:t>
      </w:r>
      <w:r w:rsidR="00E677B4">
        <w:t>.</w:t>
      </w:r>
    </w:p>
    <w:p w14:paraId="4E01DEA1" w14:textId="253B9B89" w:rsidR="00903F34" w:rsidRDefault="00000000">
      <w:pPr>
        <w:pStyle w:val="Paragraphedeliste"/>
        <w:numPr>
          <w:ilvl w:val="0"/>
          <w:numId w:val="1"/>
        </w:numPr>
        <w:jc w:val="both"/>
      </w:pPr>
      <w:r>
        <w:t xml:space="preserve">Les binômes doivent rester ensemble tout le long de la compétition, les binômes doivent être à </w:t>
      </w:r>
      <w:r w:rsidR="00AB6869">
        <w:t>« </w:t>
      </w:r>
      <w:r>
        <w:t>port</w:t>
      </w:r>
      <w:r w:rsidR="00AB6869">
        <w:t xml:space="preserve">er </w:t>
      </w:r>
      <w:r>
        <w:t>de voix</w:t>
      </w:r>
      <w:r w:rsidR="00AB6869">
        <w:t> »</w:t>
      </w:r>
      <w:r>
        <w:t xml:space="preserve"> pour les contrôles des prises.</w:t>
      </w:r>
    </w:p>
    <w:p w14:paraId="38C6A13A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En cas de prise de poisson, le binôme arrête de pêcher et doit venir contrôler la mesure.</w:t>
      </w:r>
    </w:p>
    <w:p w14:paraId="372406A3" w14:textId="1CC77EF8" w:rsidR="00903F34" w:rsidRDefault="00000000">
      <w:pPr>
        <w:pStyle w:val="Paragraphedeliste"/>
        <w:numPr>
          <w:ilvl w:val="0"/>
          <w:numId w:val="1"/>
        </w:numPr>
        <w:jc w:val="both"/>
      </w:pPr>
      <w:r>
        <w:t xml:space="preserve">Dans les binômes : l’un est « leader » de </w:t>
      </w:r>
      <w:r w:rsidR="0028469A">
        <w:t>9</w:t>
      </w:r>
      <w:r>
        <w:t>h à 1</w:t>
      </w:r>
      <w:r w:rsidR="008E22C1">
        <w:t>2h00</w:t>
      </w:r>
      <w:r>
        <w:t xml:space="preserve"> et l’autre est « leader » de 1</w:t>
      </w:r>
      <w:r w:rsidR="0028469A">
        <w:t>3</w:t>
      </w:r>
      <w:r>
        <w:t>h</w:t>
      </w:r>
      <w:r w:rsidR="0028469A">
        <w:t>30</w:t>
      </w:r>
      <w:r>
        <w:t xml:space="preserve"> à 1</w:t>
      </w:r>
      <w:r w:rsidR="0028469A">
        <w:t>7</w:t>
      </w:r>
      <w:r>
        <w:t>h. Le « leader » décide des déplacements sur les parcours de pêche.</w:t>
      </w:r>
    </w:p>
    <w:p w14:paraId="7C1F6983" w14:textId="20BBB37B" w:rsidR="00903F34" w:rsidRDefault="00000000">
      <w:pPr>
        <w:pStyle w:val="Paragraphedeliste"/>
        <w:numPr>
          <w:ilvl w:val="0"/>
          <w:numId w:val="1"/>
        </w:numPr>
        <w:jc w:val="both"/>
      </w:pPr>
      <w:r>
        <w:t xml:space="preserve">Elle se déroule </w:t>
      </w:r>
      <w:r w:rsidR="0028469A">
        <w:t xml:space="preserve">exclusivement </w:t>
      </w:r>
      <w:r w:rsidR="00BC61BD">
        <w:t xml:space="preserve">au </w:t>
      </w:r>
      <w:r w:rsidR="00BC61BD" w:rsidRPr="00BC61BD">
        <w:rPr>
          <w:b/>
          <w:bCs/>
        </w:rPr>
        <w:t>BLAVET</w:t>
      </w:r>
      <w:r w:rsidR="00BC61BD">
        <w:t xml:space="preserve"> </w:t>
      </w:r>
      <w:r>
        <w:t>:</w:t>
      </w:r>
    </w:p>
    <w:p w14:paraId="5C1FBFAC" w14:textId="79DCAFEF" w:rsidR="00903F34" w:rsidRDefault="00000000">
      <w:pPr>
        <w:pStyle w:val="Paragraphedeliste"/>
        <w:ind w:left="360" w:firstLineChars="400" w:firstLine="880"/>
        <w:jc w:val="both"/>
      </w:pPr>
      <w:r>
        <w:t xml:space="preserve">.  </w:t>
      </w:r>
      <w:r w:rsidR="008E22C1">
        <w:t xml:space="preserve">Secteur Amont (9h-12h) </w:t>
      </w:r>
      <w:r w:rsidR="00BC61BD">
        <w:t>L</w:t>
      </w:r>
      <w:r>
        <w:t>imite amont :</w:t>
      </w:r>
      <w:r w:rsidR="008E22C1">
        <w:t xml:space="preserve"> l’aval du</w:t>
      </w:r>
      <w:r>
        <w:t xml:space="preserve"> </w:t>
      </w:r>
      <w:r w:rsidR="008E22C1">
        <w:t>b</w:t>
      </w:r>
      <w:r w:rsidR="00AB6869">
        <w:t>arrage de M</w:t>
      </w:r>
      <w:r w:rsidR="0028469A">
        <w:t xml:space="preserve">INAZEN </w:t>
      </w:r>
      <w:r>
        <w:t xml:space="preserve">et limite aval : </w:t>
      </w:r>
      <w:r w:rsidR="008E22C1">
        <w:t>amont de</w:t>
      </w:r>
      <w:r>
        <w:t xml:space="preserve"> l’écluse de </w:t>
      </w:r>
      <w:proofErr w:type="spellStart"/>
      <w:r w:rsidR="00F951F1">
        <w:t>Trébihan</w:t>
      </w:r>
      <w:proofErr w:type="spellEnd"/>
      <w:r>
        <w:t xml:space="preserve">. </w:t>
      </w:r>
    </w:p>
    <w:p w14:paraId="41DED6E2" w14:textId="213E6110" w:rsidR="008E22C1" w:rsidRDefault="008E22C1">
      <w:pPr>
        <w:pStyle w:val="Paragraphedeliste"/>
        <w:ind w:left="360" w:firstLineChars="400" w:firstLine="880"/>
        <w:jc w:val="both"/>
      </w:pPr>
      <w:r>
        <w:lastRenderedPageBreak/>
        <w:t>. Secteur Aval (13h30-17</w:t>
      </w:r>
      <w:r w:rsidR="00F951F1">
        <w:t xml:space="preserve">h) Limite amont : l’aval du barrage de </w:t>
      </w:r>
      <w:proofErr w:type="spellStart"/>
      <w:r w:rsidR="00F951F1">
        <w:t>Trébihan</w:t>
      </w:r>
      <w:proofErr w:type="spellEnd"/>
      <w:r w:rsidR="00F951F1">
        <w:t xml:space="preserve"> et limite aval : 500m à l’aval du barrage de </w:t>
      </w:r>
      <w:proofErr w:type="spellStart"/>
      <w:r w:rsidR="00F951F1">
        <w:t>Polvern</w:t>
      </w:r>
      <w:proofErr w:type="spellEnd"/>
    </w:p>
    <w:p w14:paraId="7CDF35A5" w14:textId="06F6FEA6" w:rsidR="00903F34" w:rsidRDefault="00BC61BD" w:rsidP="00BC61BD">
      <w:pPr>
        <w:pStyle w:val="Paragraphedeliste"/>
        <w:ind w:left="0"/>
        <w:jc w:val="both"/>
      </w:pPr>
      <w:r>
        <w:t xml:space="preserve">                         . Les compétiteurs mineurs (-18ans) doivent fournir une autorisation parentale.</w:t>
      </w:r>
    </w:p>
    <w:p w14:paraId="1A19F24E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Une seule canne en action de pêche par pêcheur.</w:t>
      </w:r>
    </w:p>
    <w:p w14:paraId="70715B72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Seules les pêches aux leurres artificiels et à la mouche sont autorisées.</w:t>
      </w:r>
    </w:p>
    <w:p w14:paraId="47CE1EB2" w14:textId="27C575D8" w:rsidR="00903F34" w:rsidRDefault="00000000">
      <w:pPr>
        <w:pStyle w:val="Paragraphedeliste"/>
        <w:numPr>
          <w:ilvl w:val="0"/>
          <w:numId w:val="1"/>
        </w:numPr>
        <w:jc w:val="both"/>
      </w:pPr>
      <w:r>
        <w:t>La pêche depuis les passerelles et maçonneries sous les passerelles des écluses est interdite ainsi que sur le lieu d’interdiction(s) matérialisée(s).</w:t>
      </w:r>
    </w:p>
    <w:p w14:paraId="497C7D49" w14:textId="5D46B6C2" w:rsidR="00903F34" w:rsidRDefault="00000000">
      <w:pPr>
        <w:pStyle w:val="Paragraphedeliste"/>
        <w:numPr>
          <w:ilvl w:val="0"/>
          <w:numId w:val="1"/>
        </w:numPr>
        <w:jc w:val="both"/>
      </w:pPr>
      <w:r>
        <w:t>Pêche en No-kil</w:t>
      </w:r>
      <w:r w:rsidR="00AB6869">
        <w:t>l</w:t>
      </w:r>
      <w:r>
        <w:t xml:space="preserve"> obligatoire.</w:t>
      </w:r>
    </w:p>
    <w:p w14:paraId="47DF4591" w14:textId="3AF67F7F" w:rsidR="00903F34" w:rsidRDefault="00000000">
      <w:pPr>
        <w:pStyle w:val="Paragraphedeliste"/>
        <w:numPr>
          <w:ilvl w:val="0"/>
          <w:numId w:val="1"/>
        </w:numPr>
        <w:jc w:val="both"/>
      </w:pPr>
      <w:r>
        <w:t>Les déplacements sur les parcours se font à pied</w:t>
      </w:r>
      <w:r w:rsidR="00AB6869">
        <w:t xml:space="preserve">, à vélo ou en voiture </w:t>
      </w:r>
      <w:r w:rsidR="00F951F1">
        <w:t xml:space="preserve">tout en étant précisé que </w:t>
      </w:r>
      <w:r w:rsidR="00DF0A94">
        <w:t>le chemin</w:t>
      </w:r>
      <w:r w:rsidR="00AB6869">
        <w:t xml:space="preserve"> du halage est</w:t>
      </w:r>
      <w:r w:rsidR="00DF0A94">
        <w:t xml:space="preserve"> également</w:t>
      </w:r>
      <w:r w:rsidR="00AB6869">
        <w:t xml:space="preserve"> interdit aux v</w:t>
      </w:r>
      <w:r w:rsidR="00F951F1">
        <w:t>oitures, moto et mobylettes.</w:t>
      </w:r>
    </w:p>
    <w:p w14:paraId="5B7CA2AB" w14:textId="760CBA74" w:rsidR="00903F34" w:rsidRDefault="00000000">
      <w:pPr>
        <w:pStyle w:val="Paragraphedeliste"/>
        <w:numPr>
          <w:ilvl w:val="0"/>
          <w:numId w:val="1"/>
        </w:numPr>
        <w:jc w:val="both"/>
      </w:pPr>
      <w:r>
        <w:t>Chaque pêcheur doit posséder une carte de pêch</w:t>
      </w:r>
      <w:r w:rsidR="00AB6869">
        <w:t>e 2025.</w:t>
      </w:r>
    </w:p>
    <w:p w14:paraId="57794F8A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Respecter une distance de 10m entre 2 binômes. Sauf si entente cordiale, possibilité de réduire cette distance. Si pas d’entente c’est le premier binôme arrivé qui impose son choix.</w:t>
      </w:r>
    </w:p>
    <w:p w14:paraId="63ED3DAB" w14:textId="77777777" w:rsidR="00903F34" w:rsidRDefault="00000000">
      <w:pPr>
        <w:pStyle w:val="Paragraphedeliste"/>
        <w:numPr>
          <w:ilvl w:val="0"/>
          <w:numId w:val="1"/>
        </w:numPr>
        <w:jc w:val="both"/>
      </w:pPr>
      <w:r>
        <w:t>Les espèces piscicoles comptabilisées se trouvent dans le tableau des coefficients.</w:t>
      </w:r>
    </w:p>
    <w:p w14:paraId="1F63AF7A" w14:textId="77777777" w:rsidR="00903F34" w:rsidRDefault="00000000">
      <w:pPr>
        <w:jc w:val="both"/>
      </w:pPr>
      <w:r>
        <w:t>Base de calcul :</w:t>
      </w:r>
    </w:p>
    <w:p w14:paraId="4E4F9371" w14:textId="46C65EF4" w:rsidR="00903F34" w:rsidRDefault="00AB6869">
      <w:pPr>
        <w:pStyle w:val="Paragraphedeliste"/>
        <w:numPr>
          <w:ilvl w:val="0"/>
          <w:numId w:val="2"/>
        </w:numPr>
        <w:jc w:val="both"/>
      </w:pPr>
      <w:r>
        <w:t>La mesure s’effectue sur la toise fournie, de la tête jusqu’au bout de la queue du poisson</w:t>
      </w:r>
    </w:p>
    <w:p w14:paraId="5DD831C3" w14:textId="77777777" w:rsidR="00903F34" w:rsidRDefault="00000000">
      <w:pPr>
        <w:pStyle w:val="Paragraphedeliste"/>
        <w:numPr>
          <w:ilvl w:val="0"/>
          <w:numId w:val="2"/>
        </w:numPr>
        <w:jc w:val="both"/>
      </w:pPr>
      <w:r>
        <w:t>1 point par centimètre multiplié par le coefficient de majoration.</w:t>
      </w:r>
    </w:p>
    <w:p w14:paraId="49F9EC44" w14:textId="77777777" w:rsidR="00903F34" w:rsidRDefault="00000000">
      <w:pPr>
        <w:pStyle w:val="Paragraphedeliste"/>
        <w:numPr>
          <w:ilvl w:val="0"/>
          <w:numId w:val="2"/>
        </w:numPr>
        <w:jc w:val="both"/>
      </w:pPr>
      <w:r>
        <w:t>La mesure est arrondie au centimètre inférieur :</w:t>
      </w:r>
    </w:p>
    <w:p w14:paraId="13E9D229" w14:textId="43359679" w:rsidR="00903F34" w:rsidRDefault="00000000">
      <w:pPr>
        <w:pStyle w:val="Paragraphedeliste"/>
        <w:jc w:val="both"/>
      </w:pPr>
      <w:r>
        <w:t xml:space="preserve">Exemple : un brochet mesurant 52.4cm sera validé à 52cm et multiplié par le coefficient 1, ce qui fait 52 points. </w:t>
      </w:r>
    </w:p>
    <w:p w14:paraId="0C302020" w14:textId="68E25D48" w:rsidR="00903F34" w:rsidRDefault="00000000">
      <w:pPr>
        <w:jc w:val="both"/>
      </w:pPr>
      <w:r>
        <w:t xml:space="preserve">Le coefficient a pour but de valoriser les poissons plus difficiles à capturer ou en fonction de leur taille. Si une équipe a validé un nombre supérieur </w:t>
      </w:r>
      <w:r w:rsidR="00AB6869">
        <w:t>au</w:t>
      </w:r>
      <w:r>
        <w:t xml:space="preserve"> quota de poisson comptabilisable dans une espèce, se seront les poissons qui rapportent le plus de points qui seront comptabilisés pour le classement final.</w:t>
      </w:r>
    </w:p>
    <w:p w14:paraId="2D4D2C11" w14:textId="77777777" w:rsidR="00903F34" w:rsidRDefault="00903F34">
      <w:pPr>
        <w:jc w:val="both"/>
      </w:pPr>
    </w:p>
    <w:p w14:paraId="04A043BF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Validation des captures :</w:t>
      </w:r>
    </w:p>
    <w:p w14:paraId="1353B960" w14:textId="77777777" w:rsidR="00903F34" w:rsidRDefault="00000000">
      <w:pPr>
        <w:jc w:val="both"/>
      </w:pPr>
      <w:r>
        <w:t>Seuls les poissons pris par la bouche sont valides.</w:t>
      </w:r>
    </w:p>
    <w:p w14:paraId="0DFB5A31" w14:textId="77777777" w:rsidR="00903F34" w:rsidRDefault="00000000">
      <w:pPr>
        <w:jc w:val="both"/>
      </w:pPr>
      <w:r>
        <w:t>Faire une photo valide du poisson sur la toise, avec la fiche d’identité pêcheur.</w:t>
      </w:r>
    </w:p>
    <w:p w14:paraId="7EBFB3C2" w14:textId="77777777" w:rsidR="00903F34" w:rsidRDefault="00000000">
      <w:pPr>
        <w:jc w:val="both"/>
      </w:pPr>
      <w:r>
        <w:t>Le binôme doit contrôler la mesure des captures et valider avant de remplir la fiche.</w:t>
      </w:r>
    </w:p>
    <w:p w14:paraId="1B600EE4" w14:textId="253F0144" w:rsidR="00903F34" w:rsidRDefault="00000000">
      <w:pPr>
        <w:jc w:val="both"/>
      </w:pPr>
      <w:r>
        <w:t>Envoyer un SMS au commissaire avec photo valide du poisson</w:t>
      </w:r>
      <w:r w:rsidR="00F951F1">
        <w:t>.</w:t>
      </w:r>
    </w:p>
    <w:p w14:paraId="4F280C94" w14:textId="7D793049" w:rsidR="00903F34" w:rsidRDefault="00000000">
      <w:pPr>
        <w:jc w:val="both"/>
      </w:pPr>
      <w:r>
        <w:t>Remplir l</w:t>
      </w:r>
      <w:r w:rsidR="00F951F1">
        <w:t xml:space="preserve">es </w:t>
      </w:r>
      <w:r>
        <w:t>fiche</w:t>
      </w:r>
      <w:r w:rsidR="00F951F1">
        <w:t>s</w:t>
      </w:r>
      <w:r>
        <w:t xml:space="preserve"> de capture fournie par les organisateurs.</w:t>
      </w:r>
    </w:p>
    <w:p w14:paraId="4E777C1B" w14:textId="40D13989" w:rsidR="00903F34" w:rsidRDefault="00000000">
      <w:pPr>
        <w:jc w:val="both"/>
      </w:pPr>
      <w:r>
        <w:t xml:space="preserve">Transmettre la fiche de capture </w:t>
      </w:r>
      <w:r w:rsidR="00F951F1">
        <w:t xml:space="preserve">à la fin de chacune des manches </w:t>
      </w:r>
      <w:r>
        <w:t>pour valider les captures.</w:t>
      </w:r>
    </w:p>
    <w:p w14:paraId="58E0F8B1" w14:textId="77777777" w:rsidR="00903F34" w:rsidRDefault="00000000">
      <w:pPr>
        <w:jc w:val="both"/>
      </w:pPr>
      <w:r>
        <w:t>En cas de doute, les commissaires sont seuls juges de la validité ou non des captures.</w:t>
      </w:r>
    </w:p>
    <w:p w14:paraId="49B172D2" w14:textId="77777777" w:rsidR="00903F34" w:rsidRDefault="00903F34">
      <w:pPr>
        <w:jc w:val="both"/>
      </w:pPr>
    </w:p>
    <w:p w14:paraId="378EB7EF" w14:textId="77777777" w:rsidR="00903F34" w:rsidRDefault="00903F34">
      <w:pPr>
        <w:jc w:val="both"/>
      </w:pPr>
    </w:p>
    <w:p w14:paraId="793316E6" w14:textId="77777777" w:rsidR="00903F34" w:rsidRDefault="00903F34">
      <w:pPr>
        <w:jc w:val="both"/>
      </w:pPr>
    </w:p>
    <w:p w14:paraId="517224F7" w14:textId="60F2FAE3" w:rsidR="00903F34" w:rsidRDefault="0000000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Quotas par espèces :</w:t>
      </w:r>
    </w:p>
    <w:p w14:paraId="2300EFD9" w14:textId="77777777" w:rsidR="00903F34" w:rsidRDefault="00903F34">
      <w:pPr>
        <w:pStyle w:val="Paragraphedeliste"/>
        <w:numPr>
          <w:ilvl w:val="0"/>
          <w:numId w:val="3"/>
        </w:numPr>
        <w:jc w:val="both"/>
        <w:sectPr w:rsidR="00903F3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5FE22AF" w14:textId="23CC88CE" w:rsidR="00903F34" w:rsidRDefault="00D72A87">
      <w:pPr>
        <w:pStyle w:val="Paragraphedeliste"/>
        <w:numPr>
          <w:ilvl w:val="0"/>
          <w:numId w:val="3"/>
        </w:numPr>
        <w:jc w:val="both"/>
      </w:pPr>
      <w:r>
        <w:t>Brochet</w:t>
      </w:r>
      <w:r w:rsidR="00000000">
        <w:t> : 4</w:t>
      </w:r>
    </w:p>
    <w:p w14:paraId="2127FC2A" w14:textId="5CF0FDF0" w:rsidR="00D72A87" w:rsidRDefault="00D72A87" w:rsidP="00D72A87">
      <w:pPr>
        <w:pStyle w:val="Paragraphedeliste"/>
        <w:numPr>
          <w:ilvl w:val="0"/>
          <w:numId w:val="3"/>
        </w:numPr>
        <w:jc w:val="both"/>
      </w:pPr>
      <w:r>
        <w:t>Sandre</w:t>
      </w:r>
      <w:r w:rsidR="00000000">
        <w:t> : 3</w:t>
      </w:r>
    </w:p>
    <w:p w14:paraId="662D9DE8" w14:textId="70BDD5AB" w:rsidR="00D72A87" w:rsidRDefault="00D72A87" w:rsidP="00D72A87">
      <w:pPr>
        <w:pStyle w:val="Paragraphedeliste"/>
        <w:numPr>
          <w:ilvl w:val="0"/>
          <w:numId w:val="3"/>
        </w:numPr>
        <w:jc w:val="both"/>
      </w:pPr>
      <w:r>
        <w:t>Perche : 5</w:t>
      </w:r>
    </w:p>
    <w:p w14:paraId="281DAB26" w14:textId="32372572" w:rsidR="00903F34" w:rsidRDefault="00D72A87" w:rsidP="00F951F1">
      <w:pPr>
        <w:pStyle w:val="Paragraphedeliste"/>
        <w:numPr>
          <w:ilvl w:val="0"/>
          <w:numId w:val="3"/>
        </w:numPr>
        <w:jc w:val="both"/>
      </w:pPr>
      <w:r>
        <w:t>Truite</w:t>
      </w:r>
      <w:r w:rsidR="00F951F1">
        <w:t> : 5</w:t>
      </w:r>
    </w:p>
    <w:p w14:paraId="2BC69C5C" w14:textId="3734DC3F" w:rsidR="00903F34" w:rsidRDefault="00D72A87">
      <w:pPr>
        <w:pStyle w:val="Paragraphedeliste"/>
        <w:numPr>
          <w:ilvl w:val="0"/>
          <w:numId w:val="3"/>
        </w:numPr>
        <w:jc w:val="both"/>
      </w:pPr>
      <w:r>
        <w:t>Bar</w:t>
      </w:r>
      <w:r w:rsidR="00000000">
        <w:t> : 5</w:t>
      </w:r>
    </w:p>
    <w:p w14:paraId="7D6931E3" w14:textId="32C6A00D" w:rsidR="00903F34" w:rsidRDefault="00D72A87">
      <w:pPr>
        <w:pStyle w:val="Paragraphedeliste"/>
        <w:numPr>
          <w:ilvl w:val="0"/>
          <w:numId w:val="3"/>
        </w:numPr>
        <w:jc w:val="both"/>
      </w:pPr>
      <w:r>
        <w:t>Chevesne</w:t>
      </w:r>
      <w:r w:rsidR="00000000">
        <w:t> : 5</w:t>
      </w:r>
    </w:p>
    <w:p w14:paraId="14EF3E8B" w14:textId="416CEECC" w:rsidR="00F951F1" w:rsidRDefault="00000000" w:rsidP="00F951F1">
      <w:pPr>
        <w:pStyle w:val="Paragraphedeliste"/>
        <w:numPr>
          <w:ilvl w:val="0"/>
          <w:numId w:val="3"/>
        </w:numPr>
        <w:jc w:val="both"/>
      </w:pPr>
      <w:r>
        <w:t xml:space="preserve"> </w:t>
      </w:r>
      <w:r w:rsidR="00D72A87">
        <w:t>Mulet</w:t>
      </w:r>
      <w:r>
        <w:t> : 3</w:t>
      </w:r>
    </w:p>
    <w:p w14:paraId="6A550488" w14:textId="31FC2C2A" w:rsidR="00903F34" w:rsidRDefault="00F951F1" w:rsidP="00F951F1">
      <w:pPr>
        <w:pStyle w:val="Paragraphedeliste"/>
        <w:numPr>
          <w:ilvl w:val="0"/>
          <w:numId w:val="3"/>
        </w:numPr>
        <w:jc w:val="both"/>
      </w:pPr>
      <w:r>
        <w:t xml:space="preserve"> </w:t>
      </w:r>
      <w:r w:rsidR="00D72A87">
        <w:t>Silure</w:t>
      </w:r>
      <w:r>
        <w:t> : 3</w:t>
      </w:r>
    </w:p>
    <w:p w14:paraId="5A9BB730" w14:textId="77777777" w:rsidR="00903F34" w:rsidRDefault="00903F34">
      <w:pPr>
        <w:pStyle w:val="Paragraphedeliste"/>
        <w:jc w:val="both"/>
        <w:sectPr w:rsidR="00903F3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CF87DA" w14:textId="77777777" w:rsidR="00903F34" w:rsidRDefault="00903F34">
      <w:pPr>
        <w:jc w:val="both"/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350"/>
        <w:gridCol w:w="1395"/>
        <w:gridCol w:w="1276"/>
      </w:tblGrid>
      <w:tr w:rsidR="00903F34" w14:paraId="7EA71552" w14:textId="77777777">
        <w:trPr>
          <w:trHeight w:val="31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B80C1" w14:textId="74A8DF1F" w:rsidR="00903F34" w:rsidRDefault="00AB68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Tableau des coefficients par espèce</w:t>
            </w:r>
          </w:p>
        </w:tc>
      </w:tr>
      <w:tr w:rsidR="00AB6869" w14:paraId="635AC50C" w14:textId="77777777">
        <w:trPr>
          <w:trHeight w:val="315"/>
        </w:trPr>
        <w:tc>
          <w:tcPr>
            <w:tcW w:w="5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0B84A" w14:textId="77777777" w:rsidR="00AB6869" w:rsidRDefault="00AB68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903F34" w14:paraId="5BC203B5" w14:textId="77777777">
        <w:trPr>
          <w:trHeight w:val="330"/>
        </w:trPr>
        <w:tc>
          <w:tcPr>
            <w:tcW w:w="1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AE9E73E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espèce</w:t>
            </w:r>
            <w:proofErr w:type="gramEnd"/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592A7D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taille</w:t>
            </w:r>
            <w:proofErr w:type="gram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BFC5B7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réf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10E230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coefficient</w:t>
            </w:r>
            <w:proofErr w:type="gramEnd"/>
          </w:p>
        </w:tc>
      </w:tr>
      <w:tr w:rsidR="00903F34" w14:paraId="0DC585A7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152067" w14:textId="4B0B63A7" w:rsidR="00903F34" w:rsidRDefault="00903F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88ED9A" w14:textId="2EA35547" w:rsidR="00903F34" w:rsidRDefault="00903F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101326" w14:textId="21D9767D" w:rsidR="00903F34" w:rsidRDefault="00903F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BB695B" w14:textId="2C465938" w:rsidR="00903F34" w:rsidRDefault="00903F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3F34" w14:paraId="4DDAB2B6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9FD155" w14:textId="403D437A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Truite</w:t>
            </w:r>
            <w:r w:rsidR="0000000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fario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2E9721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18 - 28cm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87A05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TF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1DF207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1,25</w:t>
            </w:r>
          </w:p>
        </w:tc>
      </w:tr>
      <w:tr w:rsidR="00903F34" w14:paraId="286358C8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06C47C" w14:textId="3BAB8F51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Truite</w:t>
            </w:r>
            <w:r w:rsidR="0000000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fario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ACB71E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28cm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9CD3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Masta-TF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42B695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1.5</w:t>
            </w:r>
          </w:p>
        </w:tc>
      </w:tr>
      <w:tr w:rsidR="00903F34" w14:paraId="23F21A9A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651C4A8" w14:textId="5C978B85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Brochet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F205E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50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D90A1E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Mini-BRO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65F844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0.75</w:t>
            </w:r>
          </w:p>
        </w:tc>
      </w:tr>
      <w:tr w:rsidR="00903F34" w14:paraId="41064F9B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F34DE1" w14:textId="1EF8A7AD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Brochet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F729A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50 - 70cm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DC4AD2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BRO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2F4211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16056C12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28C773" w14:textId="57F0ABE8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Brochet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784DF5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70cm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39F4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Masta-BRO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12103A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1.25</w:t>
            </w:r>
          </w:p>
        </w:tc>
      </w:tr>
      <w:tr w:rsidR="00903F34" w14:paraId="65EC1449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0FB0B3" w14:textId="35D12E00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Sandre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FAABC8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40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9CC89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Mini-SAN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C7ED6B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14675DD0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D31C5F" w14:textId="5F3A5B13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Sandre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438E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40 - 70cm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3818A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16F951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7235547F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C86AFAE" w14:textId="056E6EFF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Sandre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0E8C1D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70cm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220F92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Masta-SAN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BC487B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1.25</w:t>
            </w:r>
          </w:p>
        </w:tc>
      </w:tr>
      <w:tr w:rsidR="00903F34" w14:paraId="169B2239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2F786B9" w14:textId="6AEB4B0A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Perche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F820F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15F264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Mini-PER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00892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0.75</w:t>
            </w:r>
          </w:p>
        </w:tc>
      </w:tr>
      <w:tr w:rsidR="00903F34" w14:paraId="57E0CB12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7C91E3" w14:textId="2F3DA4FB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Perche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59F9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20 - 30cm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8FDF7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339B7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44174B0F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DB6873" w14:textId="6D227265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Perche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42E7B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C0D69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Masta-PER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F60B2B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903F34" w14:paraId="5700A37F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A76181" w14:textId="4CEB4779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Silure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5470A6" w14:textId="77777777" w:rsidR="00903F34" w:rsidRDefault="00903F3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726187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144DFC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0.75</w:t>
            </w:r>
          </w:p>
        </w:tc>
      </w:tr>
      <w:tr w:rsidR="00903F34" w14:paraId="2F899F49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8D2F01" w14:textId="2152A095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Bar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511A7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20 - 40cm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15704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24241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7682CA84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B082F1" w14:textId="37F2086D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Bar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9C4613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40cm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8F74F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Masta-BAR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74523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1.5</w:t>
            </w:r>
          </w:p>
        </w:tc>
      </w:tr>
      <w:tr w:rsidR="00903F34" w14:paraId="102A44B9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A00F2F" w14:textId="5AB9A25D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Mulet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7340D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30cm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8B2583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MUL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2AEF47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605804DB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9B1D16" w14:textId="16322A3A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Chevesne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B7B175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20 - 50 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1F8E86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CHUB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AB8D49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903F34" w14:paraId="7DD3DB4D" w14:textId="77777777">
        <w:trPr>
          <w:trHeight w:val="300"/>
        </w:trPr>
        <w:tc>
          <w:tcPr>
            <w:tcW w:w="19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BF2F82" w14:textId="6E76F440" w:rsidR="00903F34" w:rsidRDefault="0040734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Chevesne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8E61EB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sup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50cm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4F7074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Masta-CHUB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99E42F" w14:textId="77777777" w:rsidR="00903F34" w:rsidRDefault="000000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1.25</w:t>
            </w:r>
          </w:p>
        </w:tc>
      </w:tr>
    </w:tbl>
    <w:p w14:paraId="31711A3B" w14:textId="473C282D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Pénalités :</w:t>
      </w:r>
    </w:p>
    <w:p w14:paraId="5B0828E4" w14:textId="0D98A9EF" w:rsidR="00903F34" w:rsidRDefault="00000000">
      <w:pPr>
        <w:jc w:val="both"/>
      </w:pPr>
      <w:r>
        <w:t>Le non</w:t>
      </w:r>
      <w:r w:rsidR="00AB6869">
        <w:t>-</w:t>
      </w:r>
      <w:r>
        <w:t>respect des règles de la compétition entraîne une disqualification du compétiteur.</w:t>
      </w:r>
    </w:p>
    <w:p w14:paraId="63159C66" w14:textId="570A7547" w:rsidR="00903F34" w:rsidRDefault="00000000">
      <w:pPr>
        <w:jc w:val="both"/>
      </w:pPr>
      <w:r>
        <w:t xml:space="preserve">En cas de retard </w:t>
      </w:r>
      <w:r w:rsidR="00993EC3">
        <w:t>de plus de 5mn lors du rendu de la fiche capture (avec ou sans capture)</w:t>
      </w:r>
      <w:r>
        <w:t xml:space="preserve"> soit après 1</w:t>
      </w:r>
      <w:r w:rsidR="00993EC3">
        <w:t>2</w:t>
      </w:r>
      <w:r>
        <w:t>h</w:t>
      </w:r>
      <w:r w:rsidR="00993EC3">
        <w:t>05 &amp; 17h05</w:t>
      </w:r>
      <w:r>
        <w:t xml:space="preserve"> une pénalité de 100 points sera appliquée.</w:t>
      </w:r>
    </w:p>
    <w:p w14:paraId="4F1DF2A2" w14:textId="77777777" w:rsidR="00903F34" w:rsidRDefault="00000000">
      <w:pPr>
        <w:jc w:val="both"/>
      </w:pPr>
      <w:r>
        <w:t>Tuer un poisson de manière volontaire = disqualification, si accidentelle = le poisson n’est pas comptabilisé.</w:t>
      </w:r>
    </w:p>
    <w:p w14:paraId="45095D85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Réclamations :</w:t>
      </w:r>
    </w:p>
    <w:p w14:paraId="13559ECC" w14:textId="76CB940E" w:rsidR="00903F34" w:rsidRDefault="00000000">
      <w:pPr>
        <w:jc w:val="both"/>
      </w:pPr>
      <w:r>
        <w:t>Les participants ont jusqu’à 10 minutes à l’issue de la manche pour formuler des réclamations éventuelles. Passer ce délai aucune réclamation ne sera prise en compte (soit à 1</w:t>
      </w:r>
      <w:r w:rsidR="00993EC3">
        <w:t>2h10 &amp; 17h10</w:t>
      </w:r>
      <w:r>
        <w:t xml:space="preserve"> au plus tard). Les organisateurs sont seuls juges en cas de litige.</w:t>
      </w:r>
    </w:p>
    <w:p w14:paraId="6C795648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Équipement pêcheur :</w:t>
      </w:r>
    </w:p>
    <w:p w14:paraId="05F00584" w14:textId="2F06D03F" w:rsidR="00903F34" w:rsidRDefault="00000000">
      <w:pPr>
        <w:pStyle w:val="Paragraphedeliste"/>
        <w:numPr>
          <w:ilvl w:val="0"/>
          <w:numId w:val="4"/>
        </w:numPr>
        <w:jc w:val="both"/>
      </w:pPr>
      <w:r>
        <w:t>Carte de pêche 202</w:t>
      </w:r>
      <w:r w:rsidR="00DF0A94">
        <w:t xml:space="preserve">6 </w:t>
      </w:r>
      <w:r>
        <w:rPr>
          <w:b/>
        </w:rPr>
        <w:t>(obligatoire).</w:t>
      </w:r>
    </w:p>
    <w:p w14:paraId="64104815" w14:textId="77777777" w:rsidR="00903F34" w:rsidRDefault="00000000">
      <w:pPr>
        <w:pStyle w:val="Paragraphedeliste"/>
        <w:numPr>
          <w:ilvl w:val="0"/>
          <w:numId w:val="4"/>
        </w:numPr>
        <w:jc w:val="both"/>
      </w:pPr>
      <w:r>
        <w:t xml:space="preserve">Avoir un Smartphone </w:t>
      </w:r>
      <w:r>
        <w:rPr>
          <w:b/>
        </w:rPr>
        <w:t>(obligatoire).</w:t>
      </w:r>
    </w:p>
    <w:p w14:paraId="5FAA3122" w14:textId="77777777" w:rsidR="00903F34" w:rsidRDefault="00000000">
      <w:pPr>
        <w:pStyle w:val="Paragraphedeliste"/>
        <w:numPr>
          <w:ilvl w:val="0"/>
          <w:numId w:val="4"/>
        </w:numPr>
        <w:jc w:val="both"/>
      </w:pPr>
      <w:r>
        <w:t xml:space="preserve">Un </w:t>
      </w:r>
      <w:r>
        <w:rPr>
          <w:b/>
        </w:rPr>
        <w:t>crayon (obligatoire).</w:t>
      </w:r>
    </w:p>
    <w:p w14:paraId="1F2BC796" w14:textId="77777777" w:rsidR="00903F34" w:rsidRDefault="00000000">
      <w:pPr>
        <w:pStyle w:val="Paragraphedeliste"/>
        <w:numPr>
          <w:ilvl w:val="0"/>
          <w:numId w:val="4"/>
        </w:numPr>
        <w:jc w:val="both"/>
      </w:pPr>
      <w:r>
        <w:t>Une tenue adaptée à la météo.</w:t>
      </w:r>
    </w:p>
    <w:p w14:paraId="74B22B19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Récompenses et dotations :</w:t>
      </w:r>
    </w:p>
    <w:p w14:paraId="722C5657" w14:textId="7AFBD2A5" w:rsidR="00903F34" w:rsidRDefault="00000000">
      <w:pPr>
        <w:jc w:val="both"/>
      </w:pPr>
      <w:r>
        <w:t>Une dotation individuelle est offerte à tous les compétiteurs</w:t>
      </w:r>
      <w:r w:rsidR="00993EC3">
        <w:t>.</w:t>
      </w:r>
    </w:p>
    <w:p w14:paraId="29F935FA" w14:textId="77777777" w:rsidR="00903F34" w:rsidRDefault="00000000">
      <w:pPr>
        <w:jc w:val="both"/>
      </w:pPr>
      <w:r>
        <w:t>Aux 3 premiers compétiteurs.</w:t>
      </w:r>
    </w:p>
    <w:p w14:paraId="589880B9" w14:textId="6BCCBFF4" w:rsidR="00903F34" w:rsidRDefault="00000000">
      <w:pPr>
        <w:jc w:val="both"/>
      </w:pPr>
      <w:r>
        <w:t>Au poisson le plus long « </w:t>
      </w:r>
      <w:r w:rsidR="00D72A87">
        <w:t>B</w:t>
      </w:r>
      <w:r>
        <w:t xml:space="preserve">ig </w:t>
      </w:r>
      <w:r w:rsidR="00D72A87">
        <w:t>F</w:t>
      </w:r>
      <w:r>
        <w:t>ish »</w:t>
      </w:r>
      <w:r w:rsidR="00993EC3">
        <w:t>.</w:t>
      </w:r>
    </w:p>
    <w:p w14:paraId="6D8F2F4B" w14:textId="184FCFA8" w:rsidR="00903F34" w:rsidRDefault="00000000">
      <w:pPr>
        <w:jc w:val="both"/>
      </w:pPr>
      <w:r>
        <w:t>Au premier jeune (-18ans)</w:t>
      </w:r>
      <w:r w:rsidR="00BC61BD">
        <w:t xml:space="preserve"> qui aura pris un poisson</w:t>
      </w:r>
      <w:r>
        <w:t>.</w:t>
      </w:r>
    </w:p>
    <w:p w14:paraId="53E04E26" w14:textId="48DE2A23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Quartier général pour cette compétition</w:t>
      </w:r>
      <w:r w:rsidR="00BC61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: </w:t>
      </w:r>
    </w:p>
    <w:p w14:paraId="5B70437F" w14:textId="771C6964" w:rsidR="00903F34" w:rsidRDefault="00000000">
      <w:pPr>
        <w:jc w:val="both"/>
      </w:pPr>
      <w:r>
        <w:t>QG : Maison éclusière « </w:t>
      </w:r>
      <w:proofErr w:type="spellStart"/>
      <w:r>
        <w:t>Halieu</w:t>
      </w:r>
      <w:r w:rsidR="00BC61BD">
        <w:t>T</w:t>
      </w:r>
      <w:r>
        <w:t>yKer</w:t>
      </w:r>
      <w:proofErr w:type="spellEnd"/>
      <w:r>
        <w:t xml:space="preserve"> » située à </w:t>
      </w:r>
      <w:proofErr w:type="spellStart"/>
      <w:r w:rsidR="003C79DE">
        <w:t>Lochrist-L</w:t>
      </w:r>
      <w:r>
        <w:t>angroix</w:t>
      </w:r>
      <w:proofErr w:type="spellEnd"/>
      <w:r>
        <w:t xml:space="preserve"> sur la commune d’Hennebont en face du parc d’eau vive de </w:t>
      </w:r>
      <w:proofErr w:type="spellStart"/>
      <w:r>
        <w:t>Lochrist</w:t>
      </w:r>
      <w:proofErr w:type="spellEnd"/>
      <w:r w:rsidR="003C79DE">
        <w:t xml:space="preserve"> (</w:t>
      </w:r>
      <w:r>
        <w:t xml:space="preserve">la </w:t>
      </w:r>
      <w:r w:rsidR="003C79DE">
        <w:t>réception de vos appels de déclaration de capture</w:t>
      </w:r>
      <w:r>
        <w:t>,</w:t>
      </w:r>
      <w:r w:rsidR="003C79DE">
        <w:t xml:space="preserve"> </w:t>
      </w:r>
      <w:r>
        <w:t>la remise des prix et le pot de l’amiti</w:t>
      </w:r>
      <w:r w:rsidR="003C79DE">
        <w:t>é).</w:t>
      </w:r>
    </w:p>
    <w:p w14:paraId="354CEBA1" w14:textId="77777777" w:rsidR="003C79DE" w:rsidRDefault="003C79DE">
      <w:pPr>
        <w:jc w:val="both"/>
      </w:pPr>
      <w:r>
        <w:t xml:space="preserve">Rappel : </w:t>
      </w:r>
    </w:p>
    <w:p w14:paraId="71DD6C45" w14:textId="2222FECE" w:rsidR="003C79DE" w:rsidRDefault="003C79DE" w:rsidP="003C79DE">
      <w:pPr>
        <w:pStyle w:val="Paragraphedeliste"/>
        <w:numPr>
          <w:ilvl w:val="0"/>
          <w:numId w:val="5"/>
        </w:numPr>
        <w:jc w:val="both"/>
      </w:pPr>
      <w:r>
        <w:t>Le RDV 1</w:t>
      </w:r>
      <w:r w:rsidRPr="003C79DE">
        <w:rPr>
          <w:vertAlign w:val="superscript"/>
        </w:rPr>
        <w:t>ère</w:t>
      </w:r>
      <w:r>
        <w:t xml:space="preserve"> manche : parking longeant le chemin du halage le long du Blavet </w:t>
      </w:r>
      <w:r w:rsidR="00DF0A94">
        <w:t>au lieu</w:t>
      </w:r>
      <w:r>
        <w:t xml:space="preserve">-dit </w:t>
      </w:r>
      <w:r w:rsidR="00DF0A94">
        <w:t xml:space="preserve">« Le </w:t>
      </w:r>
      <w:proofErr w:type="gramStart"/>
      <w:r w:rsidR="00DF0A94">
        <w:t>Pont</w:t>
      </w:r>
      <w:proofErr w:type="gramEnd"/>
      <w:r>
        <w:t xml:space="preserve"> Neuf</w:t>
      </w:r>
      <w:r w:rsidR="00D72A87">
        <w:t> »</w:t>
      </w:r>
      <w:r>
        <w:t xml:space="preserve"> (commune de LANGUIDIC 56440)</w:t>
      </w:r>
    </w:p>
    <w:p w14:paraId="74220133" w14:textId="526EBE58" w:rsidR="003C79DE" w:rsidRDefault="003C79DE" w:rsidP="003C79DE">
      <w:pPr>
        <w:pStyle w:val="Paragraphedeliste"/>
        <w:numPr>
          <w:ilvl w:val="0"/>
          <w:numId w:val="5"/>
        </w:numPr>
        <w:jc w:val="both"/>
      </w:pPr>
      <w:r>
        <w:t>Le RDV 2</w:t>
      </w:r>
      <w:r w:rsidRPr="003C79DE">
        <w:rPr>
          <w:vertAlign w:val="superscript"/>
        </w:rPr>
        <w:t>ème</w:t>
      </w:r>
      <w:r>
        <w:t xml:space="preserve"> manche : maison éclusière de </w:t>
      </w:r>
      <w:proofErr w:type="spellStart"/>
      <w:r>
        <w:t>Lochrist-Langroix</w:t>
      </w:r>
      <w:proofErr w:type="spellEnd"/>
      <w:r>
        <w:t xml:space="preserve"> (commune d’HENNEBONT</w:t>
      </w:r>
      <w:r w:rsidR="00D72A87">
        <w:t xml:space="preserve"> (56700</w:t>
      </w:r>
      <w:r>
        <w:t>)</w:t>
      </w:r>
    </w:p>
    <w:p w14:paraId="7CDA3F0B" w14:textId="0262FD4F" w:rsidR="00903F34" w:rsidRDefault="00000000">
      <w:pPr>
        <w:jc w:val="both"/>
      </w:pPr>
      <w:r>
        <w:t>Une carte</w:t>
      </w:r>
      <w:r w:rsidR="003C79DE">
        <w:t xml:space="preserve"> des </w:t>
      </w:r>
      <w:r>
        <w:t>accès sera transmise aux compétiteurs.</w:t>
      </w:r>
    </w:p>
    <w:p w14:paraId="42095C62" w14:textId="00B0CB9A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Tarif de l’inscription :</w:t>
      </w:r>
      <w:r w:rsidR="00DF0A94">
        <w:rPr>
          <w:b/>
          <w:sz w:val="28"/>
          <w:szCs w:val="28"/>
        </w:rPr>
        <w:t xml:space="preserve"> 15€ par pêcheur</w:t>
      </w:r>
    </w:p>
    <w:p w14:paraId="7C29E8C6" w14:textId="38574F37" w:rsidR="00903F34" w:rsidRDefault="00000000">
      <w:pPr>
        <w:jc w:val="both"/>
      </w:pPr>
      <w:r>
        <w:t xml:space="preserve">L’inscription comprend </w:t>
      </w:r>
      <w:r w:rsidR="00BC61BD">
        <w:t>un</w:t>
      </w:r>
      <w:r>
        <w:t xml:space="preserve"> panier pique</w:t>
      </w:r>
      <w:r w:rsidR="00BC61BD">
        <w:t>-niqu</w:t>
      </w:r>
      <w:r>
        <w:t>e du midi</w:t>
      </w:r>
      <w:r w:rsidR="00DF0A94">
        <w:t xml:space="preserve"> offert par l’</w:t>
      </w:r>
      <w:proofErr w:type="spellStart"/>
      <w:r w:rsidR="00DF0A94">
        <w:t>aappma</w:t>
      </w:r>
      <w:proofErr w:type="spellEnd"/>
      <w:r w:rsidR="001B4810">
        <w:t>.</w:t>
      </w:r>
    </w:p>
    <w:p w14:paraId="3BF1EBD8" w14:textId="77777777" w:rsidR="001B4810" w:rsidRDefault="001B4810">
      <w:pPr>
        <w:jc w:val="both"/>
      </w:pPr>
      <w:r>
        <w:t>Bulletin d’inscription :</w:t>
      </w:r>
    </w:p>
    <w:p w14:paraId="05CA226A" w14:textId="53A6EBA7" w:rsidR="00DF0A94" w:rsidRDefault="001B4810" w:rsidP="00DF0A94">
      <w:pPr>
        <w:pStyle w:val="Paragraphedeliste"/>
        <w:numPr>
          <w:ilvl w:val="0"/>
          <w:numId w:val="5"/>
        </w:numPr>
        <w:jc w:val="both"/>
      </w:pPr>
      <w:r>
        <w:t xml:space="preserve">Par mail : </w:t>
      </w:r>
      <w:hyperlink r:id="rId9" w:history="1">
        <w:r w:rsidRPr="007159AB">
          <w:rPr>
            <w:rStyle w:val="Lienhypertexte"/>
          </w:rPr>
          <w:t>aappma.lorient@orange.fr</w:t>
        </w:r>
      </w:hyperlink>
      <w:r>
        <w:t xml:space="preserve"> </w:t>
      </w:r>
      <w:r w:rsidR="00DF0A94">
        <w:t xml:space="preserve">+ chèque par courrier postal ou remis le matin du </w:t>
      </w:r>
      <w:proofErr w:type="gramStart"/>
      <w:r w:rsidR="00DF0A94">
        <w:t>challenge</w:t>
      </w:r>
      <w:proofErr w:type="gramEnd"/>
    </w:p>
    <w:p w14:paraId="54CDC826" w14:textId="7CDD5F88" w:rsidR="00903F34" w:rsidRDefault="00DF0A94" w:rsidP="00DF0A94">
      <w:pPr>
        <w:pStyle w:val="Paragraphedeliste"/>
        <w:numPr>
          <w:ilvl w:val="0"/>
          <w:numId w:val="5"/>
        </w:numPr>
        <w:jc w:val="both"/>
      </w:pPr>
      <w:r>
        <w:t xml:space="preserve">Par courrier postal avec </w:t>
      </w:r>
      <w:r w:rsidR="001B4810">
        <w:t xml:space="preserve">règlement chèque : AAPPMA du Pays de Lorient - maison éclusière de Langroix - 56700 Hennebont </w:t>
      </w:r>
    </w:p>
    <w:p w14:paraId="54E6F8F3" w14:textId="5500F156" w:rsidR="00DF0A94" w:rsidRDefault="00DF0A94" w:rsidP="00DF0A94">
      <w:pPr>
        <w:pStyle w:val="Paragraphedeliste"/>
        <w:numPr>
          <w:ilvl w:val="0"/>
          <w:numId w:val="5"/>
        </w:numPr>
        <w:jc w:val="both"/>
      </w:pPr>
      <w:r>
        <w:t>Le chèque ne sera mis en banque que le jour de la compétition.</w:t>
      </w:r>
    </w:p>
    <w:p w14:paraId="459C09E8" w14:textId="5B458731" w:rsidR="001B4810" w:rsidRDefault="001B4810" w:rsidP="001B4810">
      <w:pPr>
        <w:jc w:val="both"/>
      </w:pPr>
      <w:r>
        <w:t>L’AAPPMA accuse réception de chaque inscription.</w:t>
      </w:r>
    </w:p>
    <w:p w14:paraId="6D11435A" w14:textId="77777777" w:rsidR="00903F34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Informations complémentaires sur le site de l’association de pêche : </w:t>
      </w:r>
    </w:p>
    <w:p w14:paraId="4A51B986" w14:textId="77777777" w:rsidR="00903F34" w:rsidRDefault="00000000">
      <w:pPr>
        <w:jc w:val="both"/>
      </w:pPr>
      <w:r>
        <w:t>http://aappmalorientweb.wixsite.com/aappmalorient</w:t>
      </w:r>
    </w:p>
    <w:sectPr w:rsidR="00903F3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2DDF" w14:textId="77777777" w:rsidR="000323A7" w:rsidRDefault="000323A7">
      <w:pPr>
        <w:spacing w:line="240" w:lineRule="auto"/>
      </w:pPr>
      <w:r>
        <w:separator/>
      </w:r>
    </w:p>
  </w:endnote>
  <w:endnote w:type="continuationSeparator" w:id="0">
    <w:p w14:paraId="1300BBAB" w14:textId="77777777" w:rsidR="000323A7" w:rsidRDefault="00032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A44B" w14:textId="77777777" w:rsidR="000323A7" w:rsidRDefault="000323A7">
      <w:pPr>
        <w:spacing w:after="0"/>
      </w:pPr>
      <w:r>
        <w:separator/>
      </w:r>
    </w:p>
  </w:footnote>
  <w:footnote w:type="continuationSeparator" w:id="0">
    <w:p w14:paraId="4DECF2FB" w14:textId="77777777" w:rsidR="000323A7" w:rsidRDefault="00032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40E8"/>
    <w:multiLevelType w:val="hybridMultilevel"/>
    <w:tmpl w:val="1220D60A"/>
    <w:lvl w:ilvl="0" w:tplc="782EE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CFB"/>
    <w:multiLevelType w:val="multilevel"/>
    <w:tmpl w:val="2AC45C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4592"/>
    <w:multiLevelType w:val="multilevel"/>
    <w:tmpl w:val="2D4E4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3492D"/>
    <w:multiLevelType w:val="multilevel"/>
    <w:tmpl w:val="71F3492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4612F"/>
    <w:multiLevelType w:val="multilevel"/>
    <w:tmpl w:val="72046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26762">
    <w:abstractNumId w:val="3"/>
  </w:num>
  <w:num w:numId="2" w16cid:durableId="1461143635">
    <w:abstractNumId w:val="1"/>
  </w:num>
  <w:num w:numId="3" w16cid:durableId="186140038">
    <w:abstractNumId w:val="4"/>
  </w:num>
  <w:num w:numId="4" w16cid:durableId="714112567">
    <w:abstractNumId w:val="2"/>
  </w:num>
  <w:num w:numId="5" w16cid:durableId="15457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EB"/>
    <w:rsid w:val="0001166D"/>
    <w:rsid w:val="000323A7"/>
    <w:rsid w:val="00051936"/>
    <w:rsid w:val="00051A85"/>
    <w:rsid w:val="0005784F"/>
    <w:rsid w:val="00064FD9"/>
    <w:rsid w:val="000A048C"/>
    <w:rsid w:val="000B68B3"/>
    <w:rsid w:val="000C2031"/>
    <w:rsid w:val="000C7654"/>
    <w:rsid w:val="000D3B66"/>
    <w:rsid w:val="000D7173"/>
    <w:rsid w:val="000E5D04"/>
    <w:rsid w:val="000E74A0"/>
    <w:rsid w:val="00115AEB"/>
    <w:rsid w:val="00122F70"/>
    <w:rsid w:val="00126FBF"/>
    <w:rsid w:val="001B1361"/>
    <w:rsid w:val="001B4810"/>
    <w:rsid w:val="001D0ECC"/>
    <w:rsid w:val="001E5FC0"/>
    <w:rsid w:val="001E67B5"/>
    <w:rsid w:val="002018BD"/>
    <w:rsid w:val="00207F9E"/>
    <w:rsid w:val="0022674D"/>
    <w:rsid w:val="0022677E"/>
    <w:rsid w:val="00251193"/>
    <w:rsid w:val="00254397"/>
    <w:rsid w:val="00260D31"/>
    <w:rsid w:val="00267F58"/>
    <w:rsid w:val="002729BC"/>
    <w:rsid w:val="00281750"/>
    <w:rsid w:val="0028469A"/>
    <w:rsid w:val="00297003"/>
    <w:rsid w:val="002A09C1"/>
    <w:rsid w:val="002A741A"/>
    <w:rsid w:val="002B20CC"/>
    <w:rsid w:val="002B3F81"/>
    <w:rsid w:val="002B51E7"/>
    <w:rsid w:val="002B53EC"/>
    <w:rsid w:val="002B7E5C"/>
    <w:rsid w:val="002C4FF9"/>
    <w:rsid w:val="002C7C4D"/>
    <w:rsid w:val="002E70FB"/>
    <w:rsid w:val="002F6B88"/>
    <w:rsid w:val="0030101A"/>
    <w:rsid w:val="00302635"/>
    <w:rsid w:val="00321695"/>
    <w:rsid w:val="00321F20"/>
    <w:rsid w:val="00327CF8"/>
    <w:rsid w:val="00327DAC"/>
    <w:rsid w:val="00335628"/>
    <w:rsid w:val="00353401"/>
    <w:rsid w:val="00397617"/>
    <w:rsid w:val="003C79DE"/>
    <w:rsid w:val="003D1C95"/>
    <w:rsid w:val="003E7782"/>
    <w:rsid w:val="0040734D"/>
    <w:rsid w:val="004266DA"/>
    <w:rsid w:val="00430639"/>
    <w:rsid w:val="00444F56"/>
    <w:rsid w:val="004501F9"/>
    <w:rsid w:val="004A327C"/>
    <w:rsid w:val="004B5CFB"/>
    <w:rsid w:val="004E136B"/>
    <w:rsid w:val="004E5481"/>
    <w:rsid w:val="004E5F64"/>
    <w:rsid w:val="004F107E"/>
    <w:rsid w:val="00511FC5"/>
    <w:rsid w:val="005152B4"/>
    <w:rsid w:val="00516D90"/>
    <w:rsid w:val="005302A3"/>
    <w:rsid w:val="00530E20"/>
    <w:rsid w:val="00560D99"/>
    <w:rsid w:val="005862F6"/>
    <w:rsid w:val="005C14C8"/>
    <w:rsid w:val="005C18E8"/>
    <w:rsid w:val="005C242C"/>
    <w:rsid w:val="005D1EA8"/>
    <w:rsid w:val="005D4071"/>
    <w:rsid w:val="005F40D2"/>
    <w:rsid w:val="005F4EC4"/>
    <w:rsid w:val="00624AF7"/>
    <w:rsid w:val="006573B0"/>
    <w:rsid w:val="006630F7"/>
    <w:rsid w:val="006A1C4C"/>
    <w:rsid w:val="006A2B77"/>
    <w:rsid w:val="006C628E"/>
    <w:rsid w:val="006F0C92"/>
    <w:rsid w:val="006F544C"/>
    <w:rsid w:val="00703943"/>
    <w:rsid w:val="00705C1E"/>
    <w:rsid w:val="0071255D"/>
    <w:rsid w:val="00756392"/>
    <w:rsid w:val="00780622"/>
    <w:rsid w:val="007902A3"/>
    <w:rsid w:val="00791567"/>
    <w:rsid w:val="00795EE8"/>
    <w:rsid w:val="007A2413"/>
    <w:rsid w:val="007A6E24"/>
    <w:rsid w:val="007C4254"/>
    <w:rsid w:val="007E0979"/>
    <w:rsid w:val="007E0FCB"/>
    <w:rsid w:val="007F0E70"/>
    <w:rsid w:val="0080483F"/>
    <w:rsid w:val="008316B8"/>
    <w:rsid w:val="008376C1"/>
    <w:rsid w:val="00843DB2"/>
    <w:rsid w:val="00850D35"/>
    <w:rsid w:val="00851B81"/>
    <w:rsid w:val="00864925"/>
    <w:rsid w:val="00876A90"/>
    <w:rsid w:val="008A6494"/>
    <w:rsid w:val="008B41C4"/>
    <w:rsid w:val="008C528A"/>
    <w:rsid w:val="008D5849"/>
    <w:rsid w:val="008D680C"/>
    <w:rsid w:val="008E22C1"/>
    <w:rsid w:val="00903F34"/>
    <w:rsid w:val="00913A4F"/>
    <w:rsid w:val="00935A42"/>
    <w:rsid w:val="00973B7A"/>
    <w:rsid w:val="00987039"/>
    <w:rsid w:val="00993EC3"/>
    <w:rsid w:val="009A0089"/>
    <w:rsid w:val="009C767E"/>
    <w:rsid w:val="009F4179"/>
    <w:rsid w:val="00A13B15"/>
    <w:rsid w:val="00A30998"/>
    <w:rsid w:val="00A37255"/>
    <w:rsid w:val="00A37C77"/>
    <w:rsid w:val="00A5153F"/>
    <w:rsid w:val="00A767E9"/>
    <w:rsid w:val="00A773E6"/>
    <w:rsid w:val="00A80A46"/>
    <w:rsid w:val="00A843E8"/>
    <w:rsid w:val="00A90510"/>
    <w:rsid w:val="00AA34EA"/>
    <w:rsid w:val="00AB6869"/>
    <w:rsid w:val="00AC0CCD"/>
    <w:rsid w:val="00B00FB6"/>
    <w:rsid w:val="00B16A61"/>
    <w:rsid w:val="00B23687"/>
    <w:rsid w:val="00B508BA"/>
    <w:rsid w:val="00B802A6"/>
    <w:rsid w:val="00B94455"/>
    <w:rsid w:val="00B96DCF"/>
    <w:rsid w:val="00BA3F54"/>
    <w:rsid w:val="00BB2A3A"/>
    <w:rsid w:val="00BB3377"/>
    <w:rsid w:val="00BB79BA"/>
    <w:rsid w:val="00BC61BD"/>
    <w:rsid w:val="00BD616B"/>
    <w:rsid w:val="00BD6ABE"/>
    <w:rsid w:val="00BF32EA"/>
    <w:rsid w:val="00BF5F7A"/>
    <w:rsid w:val="00C03853"/>
    <w:rsid w:val="00C247B0"/>
    <w:rsid w:val="00C24DAD"/>
    <w:rsid w:val="00C46095"/>
    <w:rsid w:val="00C61072"/>
    <w:rsid w:val="00C67F5D"/>
    <w:rsid w:val="00C729CF"/>
    <w:rsid w:val="00C9270F"/>
    <w:rsid w:val="00CB6928"/>
    <w:rsid w:val="00CC170E"/>
    <w:rsid w:val="00CC324C"/>
    <w:rsid w:val="00CC4240"/>
    <w:rsid w:val="00D004AE"/>
    <w:rsid w:val="00D12913"/>
    <w:rsid w:val="00D2207A"/>
    <w:rsid w:val="00D240F5"/>
    <w:rsid w:val="00D2558A"/>
    <w:rsid w:val="00D35C2A"/>
    <w:rsid w:val="00D41962"/>
    <w:rsid w:val="00D523E3"/>
    <w:rsid w:val="00D60B0A"/>
    <w:rsid w:val="00D72A87"/>
    <w:rsid w:val="00D74206"/>
    <w:rsid w:val="00D75469"/>
    <w:rsid w:val="00DA2E5B"/>
    <w:rsid w:val="00DE4775"/>
    <w:rsid w:val="00DF0A94"/>
    <w:rsid w:val="00E033E6"/>
    <w:rsid w:val="00E04BCB"/>
    <w:rsid w:val="00E200A6"/>
    <w:rsid w:val="00E205C5"/>
    <w:rsid w:val="00E3064B"/>
    <w:rsid w:val="00E62943"/>
    <w:rsid w:val="00E677B4"/>
    <w:rsid w:val="00E92AA9"/>
    <w:rsid w:val="00EA0C53"/>
    <w:rsid w:val="00EF2B88"/>
    <w:rsid w:val="00EF3CCA"/>
    <w:rsid w:val="00F150D4"/>
    <w:rsid w:val="00F2234F"/>
    <w:rsid w:val="00F30D02"/>
    <w:rsid w:val="00F4014A"/>
    <w:rsid w:val="00F467B4"/>
    <w:rsid w:val="00F73F97"/>
    <w:rsid w:val="00F82359"/>
    <w:rsid w:val="00F914C6"/>
    <w:rsid w:val="00F921B8"/>
    <w:rsid w:val="00F951F1"/>
    <w:rsid w:val="00FC0729"/>
    <w:rsid w:val="00FC0F15"/>
    <w:rsid w:val="00FD688A"/>
    <w:rsid w:val="00FE06CA"/>
    <w:rsid w:val="00FF3881"/>
    <w:rsid w:val="00FF6D01"/>
    <w:rsid w:val="2F0F7351"/>
    <w:rsid w:val="6EF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318681"/>
  <w15:docId w15:val="{1A2DE272-4D79-412B-BD7C-65452BC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48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appma.lorien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FRANCOIS LE SAGER</cp:lastModifiedBy>
  <cp:revision>2</cp:revision>
  <cp:lastPrinted>2025-04-16T18:24:00Z</cp:lastPrinted>
  <dcterms:created xsi:type="dcterms:W3CDTF">2026-01-21T11:50:00Z</dcterms:created>
  <dcterms:modified xsi:type="dcterms:W3CDTF">2026-01-21T11:50:00Z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1036-11.2.0.11440</vt:lpwstr>
  </property>
  <property fmtid="{D5CDD505-2E9C-101B-9397-08002B2CF9AE}" pid="3" name="ICV">
    <vt:lpwstr>6D23A2BFA8F94807A099ECFB14E826BC</vt:lpwstr>
  </property>
</Properties>
</file>